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6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E3CFB33" wp14:editId="647DC352">
            <wp:extent cx="714375" cy="981075"/>
            <wp:effectExtent l="0" t="0" r="9525" b="9525"/>
            <wp:docPr id="1" name="Kép 1" descr="C-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m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B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C09D4" w:rsidRPr="00F756B2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Makó Város Önkormányzata</w:t>
      </w:r>
    </w:p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09D4" w:rsidRPr="00F756B2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tájékoztató</w:t>
      </w:r>
    </w:p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09D4" w:rsidRPr="00F756B2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88F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F756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2018. évben nyújtandó ö</w:t>
      </w:r>
      <w:r w:rsidRPr="00F756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nkormányzati támogatás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</w:t>
      </w:r>
      <w:r w:rsidRPr="00F756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ról</w:t>
      </w:r>
    </w:p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C09D4" w:rsidRDefault="008C09D4" w:rsidP="008C09D4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feltételek a kérelmező szervezet tekintetében:</w:t>
      </w:r>
    </w:p>
    <w:p w:rsidR="008C09D4" w:rsidRPr="008C09D4" w:rsidRDefault="008C09D4" w:rsidP="008C09D4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jogképességgel rendelkező,</w:t>
      </w:r>
    </w:p>
    <w:p w:rsidR="008C09D4" w:rsidRPr="00EE2CE3" w:rsidRDefault="008C09D4" w:rsidP="008C09D4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CE3">
        <w:rPr>
          <w:rFonts w:ascii="Times New Roman" w:eastAsia="Times New Roman" w:hAnsi="Times New Roman" w:cs="Times New Roman"/>
          <w:sz w:val="24"/>
          <w:szCs w:val="24"/>
          <w:lang w:eastAsia="hu-HU"/>
        </w:rPr>
        <w:t>makói lakóhellyel vagy székhellyel rendelkező,</w:t>
      </w:r>
    </w:p>
    <w:p w:rsidR="008C09D4" w:rsidRDefault="008C09D4" w:rsidP="008C09D4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CE3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tevékenységét ténylegesen Makón folytató szervezet.</w:t>
      </w:r>
    </w:p>
    <w:p w:rsidR="003637E3" w:rsidRPr="003637E3" w:rsidRDefault="003637E3" w:rsidP="0036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09D4" w:rsidRPr="008C09D4" w:rsidRDefault="008C09D4" w:rsidP="008C09D4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Speciális feltételek a kérelmező szervezet tekintetében:</w:t>
      </w:r>
    </w:p>
    <w:p w:rsidR="008C09D4" w:rsidRPr="003637E3" w:rsidRDefault="008C09D4" w:rsidP="008C09D4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3637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Társadalmi szervezet:</w:t>
      </w:r>
    </w:p>
    <w:p w:rsidR="008C09D4" w:rsidRPr="008C09D4" w:rsidRDefault="008C09D4" w:rsidP="008C09D4">
      <w:pPr>
        <w:pStyle w:val="Listaszerbekezds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egyesülési jogról, a közhasznú jogállásról, valamint a civil szervezetek működéséről és támogatásáról szóló 2011. évi CLXXV. törvén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 hatálya alá tartozó szervezet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637E3" w:rsidRPr="003637E3" w:rsidRDefault="008C09D4" w:rsidP="003637E3">
      <w:pPr>
        <w:pStyle w:val="Listaszerbekezds"/>
        <w:numPr>
          <w:ilvl w:val="2"/>
          <w:numId w:val="1"/>
        </w:numPr>
        <w:spacing w:after="240"/>
        <w:ind w:hanging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lelkiismereti és vallásszabadság jogáról, valamint az egyházak, vallásfelekezetek és vallási közösségek jogállásáról szóló 2011. CCVI. törvény hatálya alá tartozó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gyházak és szervezeti egységeik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8C09D4" w:rsidRDefault="008C09D4" w:rsidP="003637E3">
      <w:pPr>
        <w:spacing w:before="120" w:after="0"/>
        <w:ind w:firstLine="709"/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Ezek alapján az alábbi szervezetek jogosultak társadalmi szervezetként pályázatot benyújtani:</w:t>
      </w:r>
    </w:p>
    <w:p w:rsidR="008C09D4" w:rsidRDefault="008C09D4" w:rsidP="008C09D4">
      <w:pPr>
        <w:pStyle w:val="Listaszerbekezds"/>
        <w:numPr>
          <w:ilvl w:val="0"/>
          <w:numId w:val="3"/>
        </w:numPr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civil s</w:t>
      </w:r>
      <w:r>
        <w:rPr>
          <w:rFonts w:ascii="Garamond" w:eastAsia="Times New Roman" w:hAnsi="Garamond" w:cs="Times New Roman"/>
          <w:lang w:eastAsia="hu-HU"/>
        </w:rPr>
        <w:t>zervezet (kivéve civil társaság</w:t>
      </w:r>
      <w:r>
        <w:rPr>
          <w:rStyle w:val="Lbjegyzet-hivatkozs"/>
          <w:rFonts w:ascii="Garamond" w:eastAsia="Times New Roman" w:hAnsi="Garamond" w:cs="Times New Roman"/>
          <w:lang w:eastAsia="hu-HU"/>
        </w:rPr>
        <w:footnoteReference w:id="3"/>
      </w:r>
      <w:r w:rsidRPr="008C09D4">
        <w:rPr>
          <w:rFonts w:ascii="Garamond" w:eastAsia="Times New Roman" w:hAnsi="Garamond" w:cs="Times New Roman"/>
          <w:lang w:eastAsia="hu-HU"/>
        </w:rPr>
        <w:t>)</w:t>
      </w:r>
    </w:p>
    <w:p w:rsidR="008C09D4" w:rsidRDefault="008C09D4" w:rsidP="008C09D4">
      <w:pPr>
        <w:pStyle w:val="Listaszerbekezds"/>
        <w:numPr>
          <w:ilvl w:val="0"/>
          <w:numId w:val="3"/>
        </w:numPr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alapítvány (Ptk. szerinti)</w:t>
      </w:r>
    </w:p>
    <w:p w:rsidR="008C09D4" w:rsidRPr="00D02CEA" w:rsidRDefault="008C09D4" w:rsidP="008C09D4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D02CEA">
        <w:rPr>
          <w:rFonts w:ascii="Garamond" w:eastAsia="Times New Roman" w:hAnsi="Garamond" w:cs="Times New Roman"/>
          <w:lang w:eastAsia="hu-HU"/>
        </w:rPr>
        <w:t>egyesület (Ptk. szerinti)</w:t>
      </w:r>
    </w:p>
    <w:p w:rsidR="008C09D4" w:rsidRPr="008C09D4" w:rsidRDefault="008C09D4" w:rsidP="008C09D4">
      <w:pPr>
        <w:pStyle w:val="Listaszerbekezds"/>
        <w:numPr>
          <w:ilvl w:val="1"/>
          <w:numId w:val="3"/>
        </w:numPr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egyesület, egyesülési jog alapján létrehozott, különös formái (kivéve pártok, politikai tömegmozgalmak, a munkavállalói érdekképviseletei szervek, biztosító egyesületek, azon szervezek, amelyek a támogatás igénylést megelőző 5 évben országgyűlési vagy önkormányzati választás során jelöltet állítottak, vagy jelölt érdekében kampánytevékenységet végeztek.)</w:t>
      </w:r>
    </w:p>
    <w:p w:rsidR="008C09D4" w:rsidRDefault="008C09D4" w:rsidP="008C09D4">
      <w:pPr>
        <w:pStyle w:val="Listaszerbekezds"/>
        <w:numPr>
          <w:ilvl w:val="1"/>
          <w:numId w:val="3"/>
        </w:numPr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sportegyesülete</w:t>
      </w:r>
      <w:r>
        <w:rPr>
          <w:rFonts w:ascii="Garamond" w:eastAsia="Times New Roman" w:hAnsi="Garamond" w:cs="Times New Roman"/>
          <w:lang w:eastAsia="hu-HU"/>
        </w:rPr>
        <w:t>k</w:t>
      </w:r>
    </w:p>
    <w:p w:rsidR="008C09D4" w:rsidRDefault="008C09D4" w:rsidP="008C09D4">
      <w:pPr>
        <w:pStyle w:val="Listaszerbekezds"/>
        <w:numPr>
          <w:ilvl w:val="1"/>
          <w:numId w:val="3"/>
        </w:numPr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külön törvény hatálya alá tartozó tevékenységet végző egyesületek</w:t>
      </w:r>
    </w:p>
    <w:p w:rsidR="008C09D4" w:rsidRPr="008C09D4" w:rsidRDefault="008C09D4" w:rsidP="008C09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09D4" w:rsidRPr="003637E3" w:rsidRDefault="008C09D4" w:rsidP="008C09D4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3637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Alapítvány:</w:t>
      </w:r>
    </w:p>
    <w:p w:rsidR="008C09D4" w:rsidRDefault="008C09D4" w:rsidP="008C09D4">
      <w:pPr>
        <w:pStyle w:val="Listaszerbekezds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Törvénykönyvről szóló 2013. évi V. törvény</w:t>
      </w:r>
      <w:r w:rsidR="006E4E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hatálya alá tartozó alapítvány</w:t>
      </w: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, az alapító okiratban meghatározott célok megvalósítása érdekében, vagy a támogatási szerződésben meghatározott célra.</w:t>
      </w:r>
    </w:p>
    <w:p w:rsidR="003637E3" w:rsidRPr="008C09D4" w:rsidRDefault="008C09D4" w:rsidP="003637E3">
      <w:pPr>
        <w:spacing w:before="120" w:after="240"/>
        <w:ind w:firstLine="709"/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Alapítványok társadalmi szervezetként, illetve alapítványként is jogosultak pályázatot benyújtani.</w:t>
      </w:r>
    </w:p>
    <w:p w:rsidR="008C09D4" w:rsidRDefault="008C09D4" w:rsidP="008C09D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0D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 személy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szervezeti egységének </w:t>
      </w:r>
      <w:r w:rsidRPr="00130D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pályázata:</w:t>
      </w:r>
    </w:p>
    <w:p w:rsidR="008C09D4" w:rsidRDefault="008C09D4" w:rsidP="008C09D4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Ptk.: 3:32. § (1) Ha e törvény lehetővé teszi, a létesítő okirat rendelkezhet a jogi személy egyes szervezeti egységeinek jogi személlyé nyilvánításáról, feltéve, hogy a szervezeti egység az alapítóktól és a jogi személytől elkülöníthető szervezettel és vagyonnal rendelkezik.</w:t>
      </w:r>
    </w:p>
    <w:p w:rsidR="008C09D4" w:rsidRPr="008C09D4" w:rsidRDefault="008C09D4" w:rsidP="008C09D4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Sporttörvény: (2) A sportegyesület a szakosztályát, illetve más szervezeti egységét alapszabályában foglalt felhatalmazás alapján közgyűlési határozattal jogi személlyé nyilváníthatja.</w:t>
      </w:r>
    </w:p>
    <w:p w:rsidR="008C09D4" w:rsidRPr="008C09D4" w:rsidRDefault="008C09D4" w:rsidP="008C09D4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Egyháztörvény: 12. § (1) A bevett egyház belső szabálya szerint jogi személyiséggel rendelkező egysége, szervezete vagy intézménye jogi személy.</w:t>
      </w:r>
    </w:p>
    <w:p w:rsidR="008C09D4" w:rsidRPr="008C09D4" w:rsidRDefault="008C09D4" w:rsidP="003637E3">
      <w:pPr>
        <w:pStyle w:val="Listaszerbekezds"/>
        <w:spacing w:after="240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(2) második mondata: A belső egyházi jogi személyre a bevett egyházra vonatkozó szabályokat megfelelően kell alkalmazni.</w:t>
      </w:r>
    </w:p>
    <w:p w:rsidR="003637E3" w:rsidRDefault="008C09D4" w:rsidP="003637E3">
      <w:pPr>
        <w:spacing w:after="0" w:line="240" w:lineRule="auto"/>
        <w:ind w:left="709"/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A hivatkozott jogszabályi rendelkezések alapján, a jogi személyiséggel nem rendelkező szervezeti egységesek a jogi személyen (egyesület, sportegyesület, egyház) keresztül nyújthatnak be pályázatot. A pályázatban meg kell jelölni a támogatás céljaként a jogi személy szervezeti egységének támogatását. A pályázati dokumentáció érvényességi feltétele a pályázó szervezet részéről ré</w:t>
      </w:r>
      <w:r>
        <w:rPr>
          <w:rFonts w:ascii="Garamond" w:eastAsia="Times New Roman" w:hAnsi="Garamond" w:cs="Times New Roman"/>
          <w:lang w:eastAsia="hu-HU"/>
        </w:rPr>
        <w:t>szletes költségvetés benyújtása</w:t>
      </w:r>
      <w:r>
        <w:rPr>
          <w:rStyle w:val="Lbjegyzet-hivatkozs"/>
          <w:rFonts w:ascii="Garamond" w:eastAsia="Times New Roman" w:hAnsi="Garamond" w:cs="Times New Roman"/>
          <w:lang w:eastAsia="hu-HU"/>
        </w:rPr>
        <w:footnoteReference w:id="4"/>
      </w:r>
      <w:r w:rsidRPr="008C09D4">
        <w:rPr>
          <w:rFonts w:ascii="Garamond" w:eastAsia="Times New Roman" w:hAnsi="Garamond" w:cs="Times New Roman"/>
          <w:lang w:eastAsia="hu-HU"/>
        </w:rPr>
        <w:t>. Amennyiben a cél a pályázó szervezet valamely jogi személyiséggel nem rendelkező szervezeti egységének támogatása, abban az esetben is a teljes szervezetre nézve kell elkészíteni a részletes költségvetést.</w:t>
      </w:r>
    </w:p>
    <w:p w:rsidR="003637E3" w:rsidRPr="008C09D4" w:rsidRDefault="003637E3" w:rsidP="003637E3">
      <w:pPr>
        <w:spacing w:after="0" w:line="240" w:lineRule="auto"/>
        <w:ind w:left="709"/>
        <w:rPr>
          <w:rFonts w:ascii="Garamond" w:eastAsia="Times New Roman" w:hAnsi="Garamond" w:cs="Times New Roman"/>
          <w:lang w:eastAsia="hu-HU"/>
        </w:rPr>
      </w:pPr>
    </w:p>
    <w:p w:rsidR="008C09D4" w:rsidRDefault="008C09D4" w:rsidP="003637E3">
      <w:pPr>
        <w:spacing w:after="0"/>
        <w:ind w:left="709"/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Amennyiben a pályázó szervezet</w:t>
      </w:r>
      <w:r w:rsidR="005D51EA">
        <w:rPr>
          <w:rFonts w:ascii="Garamond" w:eastAsia="Times New Roman" w:hAnsi="Garamond" w:cs="Times New Roman"/>
          <w:lang w:eastAsia="hu-HU"/>
        </w:rPr>
        <w:t xml:space="preserve"> egy másik jogi személy</w:t>
      </w:r>
      <w:r w:rsidRPr="008C09D4">
        <w:rPr>
          <w:rFonts w:ascii="Garamond" w:eastAsia="Times New Roman" w:hAnsi="Garamond" w:cs="Times New Roman"/>
          <w:lang w:eastAsia="hu-HU"/>
        </w:rPr>
        <w:t xml:space="preserve"> jogi személyiséggel rendelkező szervezeti egység</w:t>
      </w:r>
      <w:r w:rsidR="005D51EA">
        <w:rPr>
          <w:rFonts w:ascii="Garamond" w:eastAsia="Times New Roman" w:hAnsi="Garamond" w:cs="Times New Roman"/>
          <w:lang w:eastAsia="hu-HU"/>
        </w:rPr>
        <w:t>é</w:t>
      </w:r>
      <w:r w:rsidRPr="008C09D4">
        <w:rPr>
          <w:rFonts w:ascii="Garamond" w:eastAsia="Times New Roman" w:hAnsi="Garamond" w:cs="Times New Roman"/>
          <w:lang w:eastAsia="hu-HU"/>
        </w:rPr>
        <w:t>nek vagy szakosztály</w:t>
      </w:r>
      <w:r w:rsidR="005D51EA">
        <w:rPr>
          <w:rFonts w:ascii="Garamond" w:eastAsia="Times New Roman" w:hAnsi="Garamond" w:cs="Times New Roman"/>
          <w:lang w:eastAsia="hu-HU"/>
        </w:rPr>
        <w:t>á</w:t>
      </w:r>
      <w:r w:rsidRPr="008C09D4">
        <w:rPr>
          <w:rFonts w:ascii="Garamond" w:eastAsia="Times New Roman" w:hAnsi="Garamond" w:cs="Times New Roman"/>
          <w:lang w:eastAsia="hu-HU"/>
        </w:rPr>
        <w:t>nak minősül, elegendő a szervezeti egység tekintetében benyújtani a pályázati dokumentáció érvényességi feltételét képező részletes költségvetést. Azonban a jogi személy szervezeti egység létesítő o</w:t>
      </w:r>
      <w:r w:rsidR="00B42BBB">
        <w:rPr>
          <w:rFonts w:ascii="Garamond" w:eastAsia="Times New Roman" w:hAnsi="Garamond" w:cs="Times New Roman"/>
          <w:lang w:eastAsia="hu-HU"/>
        </w:rPr>
        <w:t>kirata mellett a H</w:t>
      </w:r>
      <w:r>
        <w:rPr>
          <w:rFonts w:ascii="Garamond" w:eastAsia="Times New Roman" w:hAnsi="Garamond" w:cs="Times New Roman"/>
          <w:lang w:eastAsia="hu-HU"/>
        </w:rPr>
        <w:t xml:space="preserve"> mellékletnek</w:t>
      </w:r>
      <w:r>
        <w:rPr>
          <w:rStyle w:val="Lbjegyzet-hivatkozs"/>
          <w:rFonts w:ascii="Garamond" w:eastAsia="Times New Roman" w:hAnsi="Garamond" w:cs="Times New Roman"/>
          <w:lang w:eastAsia="hu-HU"/>
        </w:rPr>
        <w:footnoteReference w:id="5"/>
      </w:r>
      <w:r>
        <w:rPr>
          <w:rFonts w:ascii="Garamond" w:eastAsia="Times New Roman" w:hAnsi="Garamond" w:cs="Times New Roman"/>
          <w:lang w:eastAsia="hu-HU"/>
        </w:rPr>
        <w:t xml:space="preserve"> </w:t>
      </w:r>
      <w:r w:rsidRPr="008C09D4">
        <w:rPr>
          <w:rFonts w:ascii="Garamond" w:eastAsia="Times New Roman" w:hAnsi="Garamond" w:cs="Times New Roman"/>
          <w:lang w:eastAsia="hu-HU"/>
        </w:rPr>
        <w:t>tartalmaznia kell a jogi személyiségű szervezeti egységet létesítő jogi személy létesítő okiratát is.</w:t>
      </w:r>
    </w:p>
    <w:p w:rsidR="003637E3" w:rsidRPr="008C09D4" w:rsidRDefault="003637E3" w:rsidP="003637E3">
      <w:pPr>
        <w:spacing w:after="0"/>
        <w:ind w:left="709"/>
        <w:rPr>
          <w:rFonts w:ascii="Garamond" w:eastAsia="Times New Roman" w:hAnsi="Garamond" w:cs="Times New Roman"/>
          <w:lang w:eastAsia="hu-HU"/>
        </w:rPr>
      </w:pPr>
    </w:p>
    <w:p w:rsidR="008C09D4" w:rsidRPr="003637E3" w:rsidRDefault="008C09D4" w:rsidP="008C09D4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37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Kizáró okok:</w:t>
      </w:r>
    </w:p>
    <w:p w:rsidR="008C09D4" w:rsidRPr="00122FE9" w:rsidRDefault="008C09D4" w:rsidP="008C09D4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122F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Általános kizáró okok:</w:t>
      </w:r>
    </w:p>
    <w:p w:rsidR="008C09D4" w:rsidRPr="008C09D4" w:rsidRDefault="008C09D4" w:rsidP="008C09D4">
      <w:pPr>
        <w:ind w:left="7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Nem nyújtható támogatás:</w:t>
      </w:r>
    </w:p>
    <w:p w:rsidR="008C09D4" w:rsidRPr="008C09D4" w:rsidRDefault="008C09D4" w:rsidP="008C09D4">
      <w:pPr>
        <w:pStyle w:val="Listaszerbekezds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szervezet részére, amely csőd-, felszámolási vagy végelszámolási eljárás alatt áll,</w:t>
      </w:r>
    </w:p>
    <w:p w:rsidR="008C09D4" w:rsidRDefault="008C09D4" w:rsidP="008C09D4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akinek meg nem fizetett adó-, illeték-, járulék vagy vámtartozása van,</w:t>
      </w:r>
    </w:p>
    <w:p w:rsidR="008C09D4" w:rsidRDefault="008C09D4" w:rsidP="008C09D4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pártok, politikai tömegmozgalmak, munkavállalói érdekképviseleti szervezetek, a biztosító egyesületek részére, továbbá azon szervezetek részére, amelyek a támogatás igénylését megelőző 5 évben országgyűlési vagy önkormányzati választás során jelöltet állítottak, vagy jelölt érdekében kampánytevékenységet végeztek,</w:t>
      </w:r>
    </w:p>
    <w:p w:rsidR="008C09D4" w:rsidRDefault="008C09D4" w:rsidP="00122FE9">
      <w:pPr>
        <w:pStyle w:val="Listaszerbekezds"/>
        <w:numPr>
          <w:ilvl w:val="2"/>
          <w:numId w:val="1"/>
        </w:numPr>
        <w:spacing w:after="0"/>
        <w:ind w:hanging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civil szervezet azon tevékenységéhez, melynek támogatását törvény vagy más jogszabály tiltja.</w:t>
      </w:r>
    </w:p>
    <w:p w:rsidR="00122FE9" w:rsidRPr="00122FE9" w:rsidRDefault="00122FE9" w:rsidP="00122FE9">
      <w:pPr>
        <w:rPr>
          <w:rFonts w:ascii="Times New Roman" w:hAnsi="Times New Roman" w:cs="Times New Roman"/>
          <w:sz w:val="24"/>
          <w:szCs w:val="24"/>
        </w:rPr>
      </w:pPr>
    </w:p>
    <w:p w:rsidR="008C09D4" w:rsidRPr="00122FE9" w:rsidRDefault="008C09D4" w:rsidP="00122FE9">
      <w:pPr>
        <w:pStyle w:val="Listaszerbekezds"/>
        <w:numPr>
          <w:ilvl w:val="1"/>
          <w:numId w:val="1"/>
        </w:numPr>
        <w:spacing w:after="0"/>
        <w:ind w:left="1434" w:hanging="3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2FE9">
        <w:rPr>
          <w:rFonts w:ascii="Times New Roman" w:hAnsi="Times New Roman" w:cs="Times New Roman"/>
          <w:i/>
          <w:sz w:val="24"/>
          <w:szCs w:val="24"/>
          <w:u w:val="single"/>
        </w:rPr>
        <w:t>Rendezett munkaügyi kapcsolatok hiánya:</w:t>
      </w:r>
    </w:p>
    <w:p w:rsidR="008C09D4" w:rsidRPr="008C09D4" w:rsidRDefault="008C09D4" w:rsidP="008C09D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09D4">
        <w:rPr>
          <w:rFonts w:ascii="Times New Roman" w:hAnsi="Times New Roman" w:cs="Times New Roman"/>
          <w:sz w:val="24"/>
          <w:szCs w:val="24"/>
        </w:rPr>
        <w:t>Nem felel meg a rendezett munkaügyi kapcsolatok követelményének az, akit</w:t>
      </w:r>
    </w:p>
    <w:p w:rsidR="008C09D4" w:rsidRPr="001C0331" w:rsidRDefault="008C09D4" w:rsidP="008C09D4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az Art. 16. § (1) bekezdésében és 1. melléklet 3. pontjában vagy 16. § (1) bekezdésében és 1. melléklet 4. pontjában, illetve az egyszerűsített foglalkoztatásról szóló 2010. évi LXXV. törvény 11. §</w:t>
      </w:r>
      <w:proofErr w:type="spellStart"/>
      <w:r w:rsidRPr="001C0331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C0331">
        <w:rPr>
          <w:rFonts w:ascii="Times New Roman" w:hAnsi="Times New Roman" w:cs="Times New Roman"/>
          <w:sz w:val="24"/>
          <w:szCs w:val="24"/>
        </w:rPr>
        <w:t xml:space="preserve"> foglalt, a foglalkoztatásra irányuló jogviszony létesítésével összefüggő bejelentési kötelezettség elmulasztása,</w:t>
      </w:r>
    </w:p>
    <w:p w:rsidR="008C09D4" w:rsidRPr="008C09D4" w:rsidRDefault="008C09D4" w:rsidP="008C09D4">
      <w:pPr>
        <w:pStyle w:val="Listaszerbekezds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331">
        <w:rPr>
          <w:rFonts w:ascii="Times New Roman" w:hAnsi="Times New Roman" w:cs="Times New Roman"/>
          <w:sz w:val="24"/>
          <w:szCs w:val="24"/>
        </w:rPr>
        <w:t>a munka törvénykönyvéről szóló 2012. évi I. törvény 34. §</w:t>
      </w:r>
      <w:proofErr w:type="spellStart"/>
      <w:r w:rsidRPr="001C0331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C0331">
        <w:rPr>
          <w:rFonts w:ascii="Times New Roman" w:hAnsi="Times New Roman" w:cs="Times New Roman"/>
          <w:sz w:val="24"/>
          <w:szCs w:val="24"/>
        </w:rPr>
        <w:t xml:space="preserve"> meghatározott, a munkavállalói jogalanyisággal kapcsolatos életkori feltételekre (ideértve a gyermekmunka tilalmát is) vonatkozó rendelkezések megsértése,</w:t>
      </w:r>
    </w:p>
    <w:p w:rsidR="008C09D4" w:rsidRPr="001C0331" w:rsidRDefault="008C09D4" w:rsidP="008C09D4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 xml:space="preserve">jogszabályban, kollektív szerződésben vagy a miniszter által az ágazatra, </w:t>
      </w:r>
      <w:proofErr w:type="spellStart"/>
      <w:r w:rsidRPr="001C0331">
        <w:rPr>
          <w:rFonts w:ascii="Times New Roman" w:hAnsi="Times New Roman" w:cs="Times New Roman"/>
          <w:sz w:val="24"/>
          <w:szCs w:val="24"/>
        </w:rPr>
        <w:t>alágazatra</w:t>
      </w:r>
      <w:proofErr w:type="spellEnd"/>
      <w:r w:rsidRPr="001C0331">
        <w:rPr>
          <w:rFonts w:ascii="Times New Roman" w:hAnsi="Times New Roman" w:cs="Times New Roman"/>
          <w:sz w:val="24"/>
          <w:szCs w:val="24"/>
        </w:rPr>
        <w:t xml:space="preserve"> kiterjesztett kollektív szerződésben megállapított munkabér mértékére és a kifizetés határidejére vonatkozó rendelkezések megsértése,</w:t>
      </w:r>
    </w:p>
    <w:p w:rsidR="008C09D4" w:rsidRPr="001C0331" w:rsidRDefault="008C09D4" w:rsidP="008C09D4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a munkaerő-kölcsönzésre vonatkozó, az Mt. 215. § (1) bekezdésének a nyilvántartásba vétellel kapcsolatos szabályainak megsértése, vagy</w:t>
      </w:r>
    </w:p>
    <w:p w:rsidR="008C09D4" w:rsidRPr="001C0331" w:rsidRDefault="008C09D4" w:rsidP="008C09D4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 xml:space="preserve">az egyenlő bánásmódról és az esélyegyenlőség előmozdításáról szóló 2003. évi CXXV. törvény (a továbbiakban: </w:t>
      </w:r>
      <w:proofErr w:type="spellStart"/>
      <w:r w:rsidRPr="001C0331">
        <w:rPr>
          <w:rFonts w:ascii="Times New Roman" w:hAnsi="Times New Roman" w:cs="Times New Roman"/>
          <w:sz w:val="24"/>
          <w:szCs w:val="24"/>
        </w:rPr>
        <w:t>Ebktv</w:t>
      </w:r>
      <w:proofErr w:type="spellEnd"/>
      <w:r w:rsidRPr="001C0331">
        <w:rPr>
          <w:rFonts w:ascii="Times New Roman" w:hAnsi="Times New Roman" w:cs="Times New Roman"/>
          <w:sz w:val="24"/>
          <w:szCs w:val="24"/>
        </w:rPr>
        <w:t>.) alapján az egyenlő bánásmód követelményének megsértése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31">
        <w:rPr>
          <w:rFonts w:ascii="Times New Roman" w:hAnsi="Times New Roman" w:cs="Times New Roman"/>
          <w:sz w:val="24"/>
          <w:szCs w:val="24"/>
        </w:rPr>
        <w:t>miatt hatóság, illetve bíróság a költségvetési támogatás igénylésének időpontját megelőző két éven belül – a korábbival azonos jogsértés elkövetése miatt – jogerős és végrehajtható bírsággal sújtott vagy a központi költségvetésbe történő befizetésre kötelezett,</w:t>
      </w:r>
    </w:p>
    <w:p w:rsidR="008C09D4" w:rsidRDefault="008C09D4" w:rsidP="008C09D4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akit harmadik országbeli állampolgár munkavállalási engedély, vagy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hatóság, illetve bíróság a költségvetési támogatás igénylésének időpontját megelőző két éven belül jogerős vagy végleges bírsággal sújtott vagy a központi költségvetésbe történő befizetésre kötelezett.</w:t>
      </w:r>
    </w:p>
    <w:p w:rsidR="003637E3" w:rsidRDefault="003637E3" w:rsidP="003637E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 xml:space="preserve">több telephellyel rendelkező munkáltató esetében a jogsértést megállapító közigazgatási határozat véglegessé válásától és végrehajthatóvá válásától számított két éven belül elkövetett ismételt </w:t>
      </w:r>
      <w:proofErr w:type="gramStart"/>
      <w:r w:rsidRPr="001C0331">
        <w:rPr>
          <w:rFonts w:ascii="Times New Roman" w:hAnsi="Times New Roman" w:cs="Times New Roman"/>
          <w:sz w:val="24"/>
          <w:szCs w:val="24"/>
        </w:rPr>
        <w:t>jogsértésen</w:t>
      </w:r>
      <w:proofErr w:type="gramEnd"/>
      <w:r w:rsidRPr="001C0331">
        <w:rPr>
          <w:rFonts w:ascii="Times New Roman" w:hAnsi="Times New Roman" w:cs="Times New Roman"/>
          <w:sz w:val="24"/>
          <w:szCs w:val="24"/>
        </w:rPr>
        <w:t xml:space="preserve"> az ugyanazon telephelyen kétéves időszakon belül jogerős vagy végleges határozattal megállapított azonos jogsértést kell érteni.</w:t>
      </w:r>
    </w:p>
    <w:p w:rsidR="003637E3" w:rsidRPr="00122FE9" w:rsidRDefault="003637E3" w:rsidP="003637E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2FE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Összeférhetetlenség a közpénzekből nyújtott támogatások átláthatóságáról szóló 2007. évi CLXXXI. törvény alapján</w:t>
      </w:r>
    </w:p>
    <w:p w:rsidR="003637E3" w:rsidRPr="003637E3" w:rsidRDefault="003637E3" w:rsidP="003637E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637E3">
        <w:rPr>
          <w:rFonts w:ascii="Times New Roman" w:hAnsi="Times New Roman" w:cs="Times New Roman"/>
          <w:sz w:val="24"/>
          <w:szCs w:val="24"/>
        </w:rPr>
        <w:t>Nem indulhat pályázóként, és nem részesülhet támogatásban</w:t>
      </w:r>
    </w:p>
    <w:p w:rsidR="003637E3" w:rsidRPr="001C0331" w:rsidRDefault="003637E3" w:rsidP="003637E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aki a pályázati eljárásban döntés-előkészítőként közreműködő vagy döntéshozó,</w:t>
      </w:r>
    </w:p>
    <w:p w:rsidR="003637E3" w:rsidRPr="00753E19" w:rsidRDefault="003637E3" w:rsidP="003637E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E19">
        <w:rPr>
          <w:rFonts w:ascii="Times New Roman" w:hAnsi="Times New Roman" w:cs="Times New Roman"/>
          <w:sz w:val="24"/>
          <w:szCs w:val="24"/>
        </w:rPr>
        <w:t>a kizárt közjogi tisztségviselő,</w:t>
      </w:r>
    </w:p>
    <w:p w:rsidR="003637E3" w:rsidRPr="00753E19" w:rsidRDefault="003637E3" w:rsidP="003637E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i)–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1C0331">
        <w:rPr>
          <w:rFonts w:ascii="Times New Roman" w:hAnsi="Times New Roman" w:cs="Times New Roman"/>
          <w:sz w:val="24"/>
          <w:szCs w:val="24"/>
        </w:rPr>
        <w:t>) pont alá tartozó személy közeli hozzátartozója,</w:t>
      </w:r>
    </w:p>
    <w:p w:rsidR="003637E3" w:rsidRPr="001C0331" w:rsidRDefault="003637E3" w:rsidP="003637E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i)–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1C0331">
        <w:rPr>
          <w:rFonts w:ascii="Times New Roman" w:hAnsi="Times New Roman" w:cs="Times New Roman"/>
          <w:sz w:val="24"/>
          <w:szCs w:val="24"/>
        </w:rPr>
        <w:t>) pontban megjelölt személy tulajdonában álló gazdasági társaság,</w:t>
      </w:r>
    </w:p>
    <w:p w:rsidR="003637E3" w:rsidRPr="00753E19" w:rsidRDefault="003637E3" w:rsidP="003637E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olyan gazdasági társaság, alapítvány, egyesület, egyházi jogi személy vagy szakszervezet, illetve ezek önálló jogi személyiséggel rendelkező olyan s</w:t>
      </w:r>
      <w:r>
        <w:rPr>
          <w:rFonts w:ascii="Times New Roman" w:hAnsi="Times New Roman" w:cs="Times New Roman"/>
          <w:sz w:val="24"/>
          <w:szCs w:val="24"/>
        </w:rPr>
        <w:t>zervezeti egysége, amelyben az i)–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1C0331">
        <w:rPr>
          <w:rFonts w:ascii="Times New Roman" w:hAnsi="Times New Roman" w:cs="Times New Roman"/>
          <w:sz w:val="24"/>
          <w:szCs w:val="24"/>
        </w:rPr>
        <w:t>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3637E3" w:rsidRPr="00753E19" w:rsidRDefault="003637E3" w:rsidP="003637E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az az egyesület vagy szakszervezet, illetve ezek önálló jogi személyiséggel rendelkező azon szervezeti egysége, valamint az egyházi jogi személy,</w:t>
      </w:r>
    </w:p>
    <w:p w:rsidR="003637E3" w:rsidRPr="00753E19" w:rsidRDefault="003637E3" w:rsidP="003637E3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amely a pályázat kiírását megelőző öt évben együttműködési megállapodást kötött vagy tartott fenn Magyarországon bejegyzett párttal (a továbbiakban: párt),</w:t>
      </w:r>
    </w:p>
    <w:p w:rsidR="003637E3" w:rsidRPr="00753E19" w:rsidRDefault="003637E3" w:rsidP="003637E3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amely a pályázat kiírását megelőző öt évben párttal közös jelöltet állított országgyűlési, európai parlamenti vagy helyi önkormányzati választáson,</w:t>
      </w:r>
    </w:p>
    <w:p w:rsidR="003637E3" w:rsidRDefault="003637E3" w:rsidP="003637E3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 xml:space="preserve">akinek a részvételből való kizártságának tényét a 13. § </w:t>
      </w:r>
      <w:proofErr w:type="gramStart"/>
      <w:r w:rsidRPr="001C0331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1C0331">
        <w:rPr>
          <w:rFonts w:ascii="Times New Roman" w:hAnsi="Times New Roman" w:cs="Times New Roman"/>
          <w:sz w:val="24"/>
          <w:szCs w:val="24"/>
        </w:rPr>
        <w:t xml:space="preserve"> a honlapon közzétették.</w:t>
      </w:r>
    </w:p>
    <w:p w:rsidR="003637E3" w:rsidRPr="00122FE9" w:rsidRDefault="003637E3" w:rsidP="003637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2FE9">
        <w:rPr>
          <w:rFonts w:ascii="Times New Roman" w:hAnsi="Times New Roman" w:cs="Times New Roman"/>
          <w:b/>
          <w:sz w:val="24"/>
          <w:szCs w:val="24"/>
        </w:rPr>
        <w:t>Elszámolás</w:t>
      </w:r>
    </w:p>
    <w:p w:rsidR="003637E3" w:rsidRDefault="003637E3" w:rsidP="003637E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74F">
        <w:rPr>
          <w:rFonts w:ascii="Times New Roman" w:hAnsi="Times New Roman" w:cs="Times New Roman"/>
          <w:sz w:val="24"/>
          <w:szCs w:val="24"/>
        </w:rPr>
        <w:t>A támogatásban részesülő támogatott köteles a támogatás felhasználásáról utólag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részletesen elszámolni a támogatási szerződésben foglaltaknak megfelelően. Az elszámolás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módjára, és az elszámolási kötelezettségre, annak határidejére vonatkozóan a támogatási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szerződés</w:t>
      </w:r>
      <w:r>
        <w:rPr>
          <w:rFonts w:ascii="Times New Roman" w:hAnsi="Times New Roman" w:cs="Times New Roman"/>
          <w:sz w:val="24"/>
          <w:szCs w:val="24"/>
        </w:rPr>
        <w:t xml:space="preserve"> rendelkezéseit kell alkalmazni.</w:t>
      </w:r>
    </w:p>
    <w:p w:rsidR="003637E3" w:rsidRDefault="003637E3" w:rsidP="003637E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74F">
        <w:rPr>
          <w:rFonts w:ascii="Times New Roman" w:hAnsi="Times New Roman" w:cs="Times New Roman"/>
          <w:sz w:val="24"/>
          <w:szCs w:val="24"/>
        </w:rPr>
        <w:t>Az elszámoláshoz a támogatottnak minden esetben csatolnia kell a feltüntetett 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valódiságát tanúsító igazolásokat, bizonylatokat.</w:t>
      </w:r>
    </w:p>
    <w:p w:rsidR="003637E3" w:rsidRDefault="003637E3" w:rsidP="003637E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74F">
        <w:rPr>
          <w:rFonts w:ascii="Times New Roman" w:hAnsi="Times New Roman" w:cs="Times New Roman"/>
          <w:sz w:val="24"/>
          <w:szCs w:val="24"/>
        </w:rPr>
        <w:t>Az elszámolásokat, azok benyújtását követően az Ügyrendi és Pénzügyi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ellenőrzi, valamint dönt a szakmai be</w:t>
      </w:r>
      <w:r>
        <w:rPr>
          <w:rFonts w:ascii="Times New Roman" w:hAnsi="Times New Roman" w:cs="Times New Roman"/>
          <w:sz w:val="24"/>
          <w:szCs w:val="24"/>
        </w:rPr>
        <w:t xml:space="preserve">számoló és a pénzügyi elszámolás </w:t>
      </w:r>
      <w:r w:rsidRPr="00C5774F">
        <w:rPr>
          <w:rFonts w:ascii="Times New Roman" w:hAnsi="Times New Roman" w:cs="Times New Roman"/>
          <w:sz w:val="24"/>
          <w:szCs w:val="24"/>
        </w:rPr>
        <w:t>elfogadásáról.</w:t>
      </w:r>
    </w:p>
    <w:p w:rsidR="003637E3" w:rsidRDefault="003637E3" w:rsidP="003637E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74F">
        <w:rPr>
          <w:rFonts w:ascii="Times New Roman" w:hAnsi="Times New Roman" w:cs="Times New Roman"/>
          <w:sz w:val="24"/>
          <w:szCs w:val="24"/>
        </w:rPr>
        <w:t xml:space="preserve">Amennyiben a benyújtott elszámolás nem támasztja alá, hogy a támogatott a </w:t>
      </w:r>
      <w:proofErr w:type="gramStart"/>
      <w:r w:rsidRPr="00C5774F">
        <w:rPr>
          <w:rFonts w:ascii="Times New Roman" w:hAnsi="Times New Roman" w:cs="Times New Roman"/>
          <w:sz w:val="24"/>
          <w:szCs w:val="24"/>
        </w:rPr>
        <w:t>juttatás(</w:t>
      </w:r>
      <w:proofErr w:type="gramEnd"/>
      <w:r w:rsidRPr="00C5774F">
        <w:rPr>
          <w:rFonts w:ascii="Times New Roman" w:hAnsi="Times New Roman" w:cs="Times New Roman"/>
          <w:sz w:val="24"/>
          <w:szCs w:val="24"/>
        </w:rPr>
        <w:t>oka)t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a támogatási szerződésben meghatározott célokra és módon használta fel, az Önkormányzat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jogosult felhívni a hiánypótlásra. A hiánypótlási felhívásnak az abban meghatározott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időtartam alatt, de legkésőbb 15 napon belül a támogatott köteles eleget tenni.</w:t>
      </w:r>
    </w:p>
    <w:p w:rsidR="008C09D4" w:rsidRPr="003637E3" w:rsidRDefault="003637E3" w:rsidP="003637E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74F">
        <w:rPr>
          <w:rFonts w:ascii="Times New Roman" w:hAnsi="Times New Roman" w:cs="Times New Roman"/>
          <w:sz w:val="24"/>
          <w:szCs w:val="24"/>
        </w:rPr>
        <w:t>Amennyiben a hiánypótlásra felszólított támogatott a felhívásban foglaltaknak határidőn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belül nem tesz eleget, vagy az elszámolás benyújtását a támogatási szerződésben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meghatározott határidőn belül elmulasztja, vagy a támogatás összegét a szerződésben,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jelen rendeletben foglalt céloktól eltérően használja fel, köteles a támogatás összegét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Önkormányzat részére az erre történt felhívástól számított 15 napon belül visszatéríteni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mindenkori jegybanki alapkamat kétszeresével növelt kamattal együtt.</w:t>
      </w:r>
    </w:p>
    <w:p w:rsidR="008C09D4" w:rsidRDefault="008C09D4" w:rsidP="008C09D4">
      <w:pPr>
        <w:rPr>
          <w:rFonts w:ascii="Garamond" w:eastAsia="Times New Roman" w:hAnsi="Garamond" w:cs="Times New Roman"/>
          <w:lang w:eastAsia="hu-HU"/>
        </w:rPr>
      </w:pPr>
    </w:p>
    <w:p w:rsidR="008C09D4" w:rsidRPr="008C09D4" w:rsidRDefault="008C09D4" w:rsidP="008C09D4">
      <w:pPr>
        <w:rPr>
          <w:rFonts w:ascii="Garamond" w:eastAsia="Times New Roman" w:hAnsi="Garamond" w:cs="Times New Roman"/>
          <w:lang w:eastAsia="hu-HU"/>
        </w:rPr>
      </w:pPr>
    </w:p>
    <w:p w:rsidR="008C09D4" w:rsidRPr="008C09D4" w:rsidRDefault="008C09D4" w:rsidP="008C09D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8C09D4" w:rsidRPr="008C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D4" w:rsidRDefault="008C09D4" w:rsidP="008C09D4">
      <w:pPr>
        <w:spacing w:after="0" w:line="240" w:lineRule="auto"/>
      </w:pPr>
      <w:r>
        <w:separator/>
      </w:r>
    </w:p>
  </w:endnote>
  <w:endnote w:type="continuationSeparator" w:id="0">
    <w:p w:rsidR="008C09D4" w:rsidRDefault="008C09D4" w:rsidP="008C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D4" w:rsidRDefault="008C09D4" w:rsidP="008C09D4">
      <w:pPr>
        <w:spacing w:after="0" w:line="240" w:lineRule="auto"/>
      </w:pPr>
      <w:r>
        <w:separator/>
      </w:r>
    </w:p>
  </w:footnote>
  <w:footnote w:type="continuationSeparator" w:id="0">
    <w:p w:rsidR="008C09D4" w:rsidRDefault="008C09D4" w:rsidP="008C09D4">
      <w:pPr>
        <w:spacing w:after="0" w:line="240" w:lineRule="auto"/>
      </w:pPr>
      <w:r>
        <w:continuationSeparator/>
      </w:r>
    </w:p>
  </w:footnote>
  <w:footnote w:id="1">
    <w:p w:rsidR="008C09D4" w:rsidRDefault="008C09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C09D4">
        <w:t>Civil törvény 1. § (1) E törvény hatálya a Polgári Törvénykönyv (a továbbiakban: Ptk.) szerinti alapítványokra, egyesületekre, valamint a közhasznú szervezetekre, illetve az egyesülési jog alapján létrejött egyéb szervezetekre terjed ki.</w:t>
      </w:r>
    </w:p>
  </w:footnote>
  <w:footnote w:id="2">
    <w:p w:rsidR="008C09D4" w:rsidRDefault="008C09D4" w:rsidP="008C09D4">
      <w:pPr>
        <w:pStyle w:val="Lbjegyzetszveg"/>
      </w:pPr>
      <w:r>
        <w:rPr>
          <w:rStyle w:val="Lbjegyzet-hivatkozs"/>
        </w:rPr>
        <w:footnoteRef/>
      </w:r>
      <w:r>
        <w:t xml:space="preserve"> Egyháztörvény: </w:t>
      </w:r>
    </w:p>
    <w:p w:rsidR="008C09D4" w:rsidRDefault="008C09D4" w:rsidP="008C09D4">
      <w:pPr>
        <w:pStyle w:val="Lbjegyzetszveg"/>
      </w:pPr>
      <w:r>
        <w:t>10. § Egyházi jogi személy a bevett egyház és annak belső egyházi jogi személye.</w:t>
      </w:r>
    </w:p>
    <w:p w:rsidR="008C09D4" w:rsidRDefault="008C09D4">
      <w:pPr>
        <w:pStyle w:val="Lbjegyzetszveg"/>
      </w:pPr>
      <w:r>
        <w:t xml:space="preserve">11. § (2) A bevett </w:t>
      </w:r>
      <w:proofErr w:type="gramStart"/>
      <w:r>
        <w:t>egyház jogi</w:t>
      </w:r>
      <w:proofErr w:type="gramEnd"/>
      <w:r>
        <w:t xml:space="preserve"> személy. </w:t>
      </w:r>
    </w:p>
  </w:footnote>
  <w:footnote w:id="3">
    <w:p w:rsidR="008C09D4" w:rsidRDefault="008C09D4" w:rsidP="008C09D4">
      <w:pPr>
        <w:pStyle w:val="Lbjegyzetszveg"/>
      </w:pPr>
      <w:r>
        <w:rPr>
          <w:rStyle w:val="Lbjegyzet-hivatkozs"/>
        </w:rPr>
        <w:footnoteRef/>
      </w:r>
      <w:r>
        <w:t xml:space="preserve"> A civil társaság a jogképesség hiánya miatt nem nyújthat be pályázatot.</w:t>
      </w:r>
    </w:p>
  </w:footnote>
  <w:footnote w:id="4">
    <w:p w:rsidR="008C09D4" w:rsidRDefault="008C09D4" w:rsidP="008C09D4">
      <w:pPr>
        <w:pStyle w:val="Lbjegyzetszveg"/>
      </w:pPr>
      <w:r>
        <w:rPr>
          <w:rStyle w:val="Lbjegyzet-hivatkozs"/>
        </w:rPr>
        <w:footnoteRef/>
      </w:r>
      <w:r>
        <w:t xml:space="preserve"> 4. További feltételek:</w:t>
      </w:r>
    </w:p>
    <w:p w:rsidR="008C09D4" w:rsidRDefault="008C09D4" w:rsidP="008C09D4">
      <w:pPr>
        <w:pStyle w:val="Lbjegyzetszveg"/>
      </w:pPr>
      <w:r>
        <w:t>A támogatás biztosításának és a támogatási összeg rendelkezésre bocsátásának kifejezett feltétele, hogy a támogatott a támogatás tervezett felhasználásáról részletes költségvetést nyújtson be az Önkormányzathoz, amelynek tartalmaznia kell a támogatott szervezet részletes költségvetését a támogatási évre vonatkozóan.</w:t>
      </w:r>
    </w:p>
  </w:footnote>
  <w:footnote w:id="5">
    <w:p w:rsidR="008C09D4" w:rsidRDefault="008C09D4" w:rsidP="008C09D4">
      <w:pPr>
        <w:pStyle w:val="Lbjegyzetszveg"/>
      </w:pPr>
      <w:r>
        <w:rPr>
          <w:rStyle w:val="Lbjegyzet-hivatkozs"/>
        </w:rPr>
        <w:footnoteRef/>
      </w:r>
      <w:r>
        <w:t xml:space="preserve"> 5.2. A pályázati dokumentáció elbíráláshoz szükséges további mellékletei:</w:t>
      </w:r>
    </w:p>
    <w:p w:rsidR="008C09D4" w:rsidRDefault="00B42BBB" w:rsidP="008C09D4">
      <w:pPr>
        <w:pStyle w:val="Lbjegyzetszveg"/>
      </w:pPr>
      <w:r>
        <w:t>H</w:t>
      </w:r>
      <w:r w:rsidR="008C09D4">
        <w:t xml:space="preserve">. </w:t>
      </w:r>
      <w:proofErr w:type="gramStart"/>
      <w:r w:rsidR="008C09D4">
        <w:t>m</w:t>
      </w:r>
      <w:bookmarkStart w:id="0" w:name="_GoBack"/>
      <w:bookmarkEnd w:id="0"/>
      <w:r w:rsidR="008C09D4">
        <w:t>elléklet</w:t>
      </w:r>
      <w:proofErr w:type="gramEnd"/>
      <w:r w:rsidR="008C09D4">
        <w:t>: A pályázó szervezet alapító dokumentuma módosításokkal egységes szerkezetbe foglalva – a pályázó által hitelesített másolat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357F8"/>
    <w:multiLevelType w:val="hybridMultilevel"/>
    <w:tmpl w:val="0DE6A056"/>
    <w:lvl w:ilvl="0" w:tplc="040E000F">
      <w:start w:val="1"/>
      <w:numFmt w:val="decimal"/>
      <w:lvlText w:val="%1."/>
      <w:lvlJc w:val="left"/>
      <w:pPr>
        <w:ind w:left="2844" w:hanging="360"/>
      </w:pPr>
    </w:lvl>
    <w:lvl w:ilvl="1" w:tplc="040E0019">
      <w:start w:val="1"/>
      <w:numFmt w:val="lowerLetter"/>
      <w:lvlText w:val="%2."/>
      <w:lvlJc w:val="left"/>
      <w:pPr>
        <w:ind w:left="3564" w:hanging="360"/>
      </w:pPr>
    </w:lvl>
    <w:lvl w:ilvl="2" w:tplc="040E001B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41C26590"/>
    <w:multiLevelType w:val="hybridMultilevel"/>
    <w:tmpl w:val="112E7738"/>
    <w:lvl w:ilvl="0" w:tplc="53904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43C093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9F231BC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BD341744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 w:tplc="A79ED7B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BD341744">
      <w:start w:val="1"/>
      <w:numFmt w:val="upperRoman"/>
      <w:lvlText w:val="%6."/>
      <w:lvlJc w:val="left"/>
      <w:pPr>
        <w:ind w:left="4320" w:hanging="180"/>
      </w:pPr>
      <w:rPr>
        <w:rFonts w:hint="default"/>
      </w:r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16BF4"/>
    <w:multiLevelType w:val="hybridMultilevel"/>
    <w:tmpl w:val="007CDB58"/>
    <w:lvl w:ilvl="0" w:tplc="69206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57BFE"/>
    <w:multiLevelType w:val="hybridMultilevel"/>
    <w:tmpl w:val="11CE5B8A"/>
    <w:lvl w:ilvl="0" w:tplc="F5206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4"/>
    <w:rsid w:val="00122FE9"/>
    <w:rsid w:val="003637E3"/>
    <w:rsid w:val="005D51EA"/>
    <w:rsid w:val="006E4E29"/>
    <w:rsid w:val="008C09D4"/>
    <w:rsid w:val="00A85196"/>
    <w:rsid w:val="00B42BBB"/>
    <w:rsid w:val="00B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DD110-2E34-4AA0-80C1-C84526D0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9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09D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09D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09D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0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A6F9D-B3F9-4D29-8B87-6BDE6BB6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1173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Oláh Zoltán</dc:creator>
  <cp:keywords/>
  <dc:description/>
  <cp:lastModifiedBy>dr. Oláh Zoltán</cp:lastModifiedBy>
  <cp:revision>3</cp:revision>
  <dcterms:created xsi:type="dcterms:W3CDTF">2018-01-22T10:22:00Z</dcterms:created>
  <dcterms:modified xsi:type="dcterms:W3CDTF">2018-01-22T13:44:00Z</dcterms:modified>
</cp:coreProperties>
</file>